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194 vom 15. Februar 2022</w:t>
      </w:r>
    </w:p>
    <w:p>
      <w:r>
        <w:t>BL Gerichte, 2022-02-15, DE</w:t>
      </w:r>
    </w:p>
    <w:p>
      <w:r>
        <w:rPr>
          <w:b/>
        </w:rPr>
        <w:t xml:space="preserve">Quelle: </w:t>
      </w:r>
      <w:r>
        <w:t>https://mcp.opencaselaw.ch/entscheid/bl_gerichte_460 2021 194</w:t>
      </w:r>
    </w:p>
    <w:p>
      <w:r>
        <w:t>FR: BL_GERICHTE 460 2021 194 du 15 février 2022</w:t>
      </w:r>
    </w:p>
    <w:p>
      <w:r>
        <w:t>IT: BL_GERICHTE 460 2021 194 del 15 febbraio 2022</w:t>
      </w:r>
    </w:p>
    <w:p>
      <w:pPr>
        <w:pStyle w:val="Heading2"/>
      </w:pPr>
      <w:r>
        <w:t>Regeste</w:t>
      </w:r>
    </w:p>
    <w:p>
      <w:r>
        <w:t>Grobe Verletzung von Verkehrsregeln (Neubeurteilung 460 19 84)</w:t>
      </w:r>
    </w:p>
    <w:p>
      <w:pPr>
        <w:pStyle w:val="Heading2"/>
      </w:pPr>
      <w:r>
        <w:t>Erwägungen</w:t>
      </w:r>
    </w:p>
    <w:p>
      <w:r>
        <w:rPr>
          <w:b/>
        </w:rPr>
        <w:t>E. 1</w:t>
      </w:r>
    </w:p>
    <w:p>
      <w:r>
        <w:t>Zuständigkeit im Neubeurteilungsverfahren Aufgrund der bundesgerichtlichen Rückweisung der Sache zur Neubeurteilung ist die Dreierkammer des Kantonsgerichts Basel-Landschaft, Abteilung Strafrecht, erneut zur Prüfung der vorliegenden Angelegenheit zuständig.</w:t>
      </w:r>
    </w:p>
    <w:p>
      <w:r>
        <w:rPr>
          <w:b/>
        </w:rPr>
        <w:t>E. 1.1</w:t>
      </w:r>
    </w:p>
    <w:p>
      <w:r>
        <w:t>Gemäss Art. 408 StPO fällt die Berufungsinstanz ein neues Urteil, welches das erstinstanzliche ersetzt. Dabei hat sie die Strafe nach ihrem eigenen Ermessen festzusetzen und muss sich nicht daran orientieren, wie die erste Instanz die einzelnen Strafzumessungsfaktoren gewichtet hat (vgl. BGer 6B_298/2013 vom 16. Januar 2014, E. 6.2). Im vorliegenden Fall ist der Beschuldigte der groben Verletzung der Verkehrsregeln schuldig zu erklären, womit der ordentliche Strafrahmen nach Art. 90 Abs. 2 SVG zwischen einer Geldstrafe von drei Tagessätzen und einer Freiheitsstrafe von höchstens drei Jahren liegt. Nach Art. 106 Abs. 3 des Schweizerischen Strafgesetzbuchs (StGB, SR 311.0) bemisst das Gericht Busse und Ersatzfreiheitsstrafe je nach den Verhältnissen des Täters so, dass dieser die Strafe erleidet, die seinem Verschulden angemessen ist (Art. 106 Abs. 3 StGB).</w:t>
      </w:r>
    </w:p>
    <w:p>
      <w:r>
        <w:rPr>
          <w:b/>
        </w:rPr>
        <w:t>E. 1.2</w:t>
      </w:r>
    </w:p>
    <w:p>
      <w:r>
        <w:t>Nach Art. 47 StGB misst das Gericht die Strafe innerhalb des massgebenden Strafrahmens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w:t>
      </w:r>
    </w:p>
    <w:p>
      <w:r>
        <w:rPr>
          <w:b/>
        </w:rPr>
        <w:t>E. 1.3</w:t>
      </w:r>
    </w:p>
    <w:p>
      <w:r>
        <w:t>Das Gericht bewertet das Verschulden praxisgemäss ausgehend von der objektiven Tat-schwere. Diese ist zunächst danach zu bestimmen, wie stark das betroffene Rechtsgut beeinträchtigt worden ist. Dabei sind das Ausmass des Erfolgs, die Gefährdung, das Risiko sowie die Art und Weise des Tatvorgehens zu berücksichtigen. Von Bedeutung sind auch die Intensität der durch die Tat und Tatausführung offenbarten kriminellen Energie, sowie die Grösse des Tatbeitrags bei mehreren Tätern und die hierarchische Stellung ( Hans Wiprächtiger / Stefan Keller , Basler Kommentar, Strafrecht I, 4. Aufl. 2019, Art. 47 N 91 ff.). Bei der Beurteilung der subjektiven Tatschwerde bilden namentlich die Beweggründe und Ziele des Täters, der bei der Tat aufgewendete Wille, das Motiv sowie das Mass an Entscheidungsfreiheit massgebende Strafzumessungskriterien ( Hans Wiprächtiger / Stefan Keller , a.a.O., Art. 47 N 115 ff.). 2.</w:t>
      </w:r>
    </w:p>
    <w:p>
      <w:r>
        <w:rPr>
          <w:b/>
        </w:rPr>
        <w:t>E. 1.4</w:t>
      </w:r>
    </w:p>
    <w:p>
      <w:r>
        <w:t>Das urteilende Gericht ist nach dem Grundsatz der freien Beweiswürdigung (Art. 10 Abs. 2 StPO) frei von Beweisregeln und hat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soll allein deren Stichhaltigkeit sein ( Christof Riedo / Gerhard Fiolka / 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Ziffer 2 der Konvention zum Schutze der Menschenrechte und Grundfreiheiten (EMRK; SR 0.101) verankerten Maxime "in dubio pro reo" bis zum gesetzlichen Nachweis seiner Schuld zu vermuten, dass der wegen einer strafbaren Handlung Angeklagte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w:t>
      </w:r>
    </w:p>
    <w:p>
      <w:r>
        <w:rPr>
          <w:b/>
        </w:rPr>
        <w:t>E. 1.5</w:t>
      </w:r>
    </w:p>
    <w:p>
      <w:r>
        <w:t>Vorab kann in casu festgehalten werden, dass die Vorinstanz mit ausführlicher und in allen Teilen zutreffender Begründung die Erstellung des angeklagten Sachverhalts dargelegt hat. Der Beschuldigte bringt im Berufungsverfahren im Wesentlichen dieselben Einwendungen, mit welchen sich das Strafgerichtspräsidium bereits detailliert auseinandergesetzt hat, vor. Um Wiederholungen zu vermeiden, kann deshalb zunächst bezüglich des Beweisergebnisses in Anwendung von Art. 82 Abs. 4 StPO auf die betreffenden Ausführungen im angefochtenen Urteil (vgl. Urteil der Vorinstanz, S. 3-7) verwiesen werden. Im Folgenden werden daher nur insoweit ergänzende Ausführungen gemacht, als dies aufgrund der Einwendungen des Verteidigers als erforderlich erscheint. 1.6.1 Zunächst bringt der Berufungskläger vor, er sei durch das ihm nachfolgende Polizeifahrzeug geradezu "gedrängt" worden, weswegen durch Tatprovokation erzeugte Beweise vorlägen, welche in casu einem Verwertungsverbot unterlägen. Dieser Einwand ist mit der Vorinstanz und der Staatsanwaltschaft als Schutzbehauptung anzusehen. Selbst wenn sich der Beschuldigte tatsächlich durch das zur Tatzeit für ihn noch nicht als Polizeifahrzeug erkennbare Auto bedrängt gefühlt haben sollte, so wäre es ihm in tatsächlicher Hinsicht mehrfach möglich gewesen, sein Fahrzeug nach rechts auf die Normalspur zu lenken. Zu berücksichtigen gilt es in diesem Zusammenhang zudem, dass selbst ein zu dichtes Auffahren eines hinterherfahrenden Fahrzeugs ein ebenfalls zu nahes Auffahren auf ein Vorderfahrzeug nicht zu rechtfertigen vermag. Gleichermassen kann der Videoaufzeichnung entnommen werden, dass sich das Polizeifahrzeug lediglich am Anfang der Aufzeichnung hinter dem Beschuldigten befunden hat. Zum Zeitpunkt, als der Beschuldigte auf der linken Fahrbahn mit seinem relevanten Auffahrmanöver begonnen hat, verweilte das verdeckt operierende Polizeifahrzeug auf der rechten Fahrbahn (vgl. act. 33, 07:17:24). Die Argumentation des Berufungsklägers, wonach die den Abstand messende Polizei seinen Tatentschluss hierdurch gezielt habe hervorrufen wollen, ist somit als abwegig zu bezeichnen. Von einer Tatprovokation durch das den Abstand messende Polizeifahrzeug im Sinne eines "agent provocateur" kann im vorliegenden Fall demnach keine Rede sein. 1.6.2 Ebenfalls ohne Fundament erscheint sodann das Vorbringen des Beschuldigten, wonach sich die Strafverfolgungsorgane in willkürlicher und einseitiger Weise auf seine Verfolgung beschränkt hätten, wobei es einer eigentlichen rechtswidrigen Strafverfolgungspraxis entspräche, das Nichteinhalten des Abstandes ungeahndet zu lassen und stattdessen bloss einzelne Fahrzeuge herauszugreifen und zu bestrafen. Aus welchem Grund die Polizei auf die Fahrweise des Berufungsklägers aufmerksam wurde, ist im Einzelnen nicht bekannt, doch ist entgegen seiner Argumentation auf der Videoaufnahme nicht zu sehen, dass beinahe alle Fahrzeuge den Vorderfahrzeugen derart dicht auffahren würden. Dies trifft – wie die Staatsanwaltschaft zu Recht vorbringt – höchstens auf die ersten Sekunden der Aufnahme zu, während denen noch dichterer Verkehr herrschte. Danach reduziert sich jedoch das Verkehrsaufkommen erkennbar, und die Abstände der anderen Verkehrsteilnehmer vergrössern sich signifikant, wohingegen der Beschuldigte erneut auf ein anderes Fahrzeug zu dicht aufschliesst. Mithin sind auf der Videoaufzeichnung in Bezug auf die gefahrene Geschwindigkeit und den Abstand zum Vorderfahrzeug kaum vergleichbare schwerwiegende Widerhandlungen anderer Verkehrsteilnehmer zu erkennen. Zu beachten gilt es sodann, dass die Polizei die Nachfahrt aus technischen Gründen jeweils auf einen einzigen Personenwagen beschränken muss und demzufolge auch nur einen fehlbaren Lenker anhalten, identifizieren und einer Kontrolle unterziehen kann. Nach der Rechtsprechung des Bundesgerichts wird der Anspruch auf Gleichbehandlung im Unrecht zudem nur ausnahmsweise anerkannt, wenn eine ständige gesetzwidrige Praxis einer rechtsanwendenden Behörde vorliegt und diese zu erkennen gibt, dass sie auch in Zukunft nicht von dieser Praxis abzuweichen gedenke (BGE 139 II 49, E. 7.1; 136 I 65 E. 5.6 S. 78; BGer 4A_62/2012 vom 18. Juni 2012, E. 3; 4A.5/2004 vom 25. November 2004, E. 4.3). Solches legt der Berufungskläger indes zu Recht nicht dar, was auch nicht ansatzweise ersichtlich ist. 1.6.3 Des Weiteren stellt sich der Berufungskläger auf den Standpunkt, der Anklagegrundsatz sei vorliegend verletzt, weil ihm gemäss Anklageschrift vorgeworfen werde, auf der ersten Überholspur den Sicherheitsabstand nicht eingehalten zu haben, während die im Sachverhalt des Strafbefehls angegebene Abstandsmessung tatsächlich zu einem Zeitpunkt erfolgt sei, als er sich bereits auf der zweiten Überholspur befunden habe. Nach dem aus Art. 29 Abs. 2 und Art. 32 Abs. 2 BV sowie aus Art. 6 Ziffer 1 und Ziffer 3 lit. a und b EMRK abgeleiteten und nunmehr in Art. 9 Abs. 1 StPO festgeschriebenen Anklagegrundsatz bestimmt die Anklageschrift den Gegenstand des Gerichtsverfahrens (Umgrenzungsfunktion). Die Anklageschrift bezeichnet hierbei möglichst kurz, aber genau die der beschuldigten Person vorgeworfenen Taten mit Beschreibung von Ort, Datum, Zeit, Art und Folgen der Tatausführung (Art. 325 Abs. 1 lit. f StPO). Zugleich bezweckt der Akkusationsgrundsatz den Schutz der Verteidigungsrechte der angeschuldigten Person und garantiert den Anspruch auf rechtliches Gehör (Informationsfunktion; BGE 133 IV 235, E. 6.2 f.; 126 I 19, E. 2a, je mit Hinweisen). Zudem ist zu beachten, dass der Anklagegrundsatz keinen Selbstzweck verfolgt, sondern die Funktionen der Umgrenzung und Information gewährleisten soll. Selbst eine Verurteilung trotz eines formellen oder materiellen Mangels der Anklageschrift verletzt daher den Anklagegrundsatz nicht in jedem Fall, sondern nur, wenn sich dieser Mangel auch tatsächlich auf die Verteidigung ausgewirkt hat (statt vieler: BGer 6B_197/2013 vom 20. Juni 2013, E. 2.3, 6B_250/2012 vom 1. November 2012, E. 1.3, 6B_983/2010 vom 19. April 2011, E. 2.5). Der durch die Polizei Basel-Landschaft erstellten Videoaufnahme ist zu entnehmen, dass der Beschuldigte bereits vor dem Spurausbau zu nahe auf das Vorderfahrzeug auffuhr und ohne wesentliche Abstandsveränderung gleichzeitig mit diesem auf die zweite Überholspur wechselte, auf der dann schliesslich in der Folge die Auswertung der Abstandsmessung erfolgte. Mithin fand die Messung entgegen der Umschreibung im gemäss Art. 356 Abs. 1 Satz 2 StPO als Anklageschrift geltenden Strafbefehl tatsächlich erst auf der zweiten Überholspur statt. In der vorliegend zu beurteilenden Anklageschrift sind aber alle Details des zu subsumierenden tatsächlichen Lebensvorgangs einschliesslich der genauen Ort- und Zeitangabe sowie der Fahrtrichtung hinreichend präzise geschildert. Für den Beschuldigten war anhand dieser Angaben der ihm als strafbar vorgeworfene Lebenssachverhalt ohne Weiteres ersichtlich und eingrenzbar, zumal er höchst simpler Natur ist und keinerlei Komplikationen aufweist. Die vom Verteidiger geltend gemachte Ungenauigkeit in der Anklageschrift hinsichtlich der Fahrspur ist im vorliegenden Fall im Sinne der geschilderten bundesgerichtlichen Rechtsprechung nicht von entscheidender Bedeutung. Mithin hat sie die Verteidigungsmöglichkeiten des Berufungsklägers von vornherein nicht erkennbar tangiert. Für den Beschuldigten war trotz der unpräzisen Angabe hinsichtlich der Fahrspur jederzeit klarerweise erkennbar, was ihm im Einzelnen angelastet wird, so dass er ohne Weiteres in der Lage war, seine Verteidigungsrechte angemessen auszuüben. Eine Verletzung des Anklageprinzips liegt bei dieser Sachlage demnach offensichtlich nicht vor. 1.6.4 Sodann bringt der Beschuldigte vor, der Nachfahrtachograf des Polizeifahrzeuges sei gemäss Eichzertifikat nur für Geschwindigkeitsmessungen, nicht jedoch für Abstandsmessungen geeicht worden. Des Weiteren sei nicht transparent, wie und gestützt auf welche Grundlagen (Messart, Messmethoden etc.) die Staatsanwaltschaft die angeblich gefahrene Geschwindigkeit ermittelt habe. Was die Funktionstauglichkeit des Messmittels anbelangt, ist festzuhalten, dass die im Rahmen der bestrittenen Abstandsmessung und -berechnung verwendeten Systeme vom Eidgenössischen Institut für Metrologie (METAS) zugelassen und am 29. September 2016 geeicht wurden, weshalb die Eichung bis zum 30. September 2017 und somit auch während der vorliegenden Messung gültig war (vgl. act. 35). Bezüglich des Einwands, das Eichzertifikat betreffe nur Geschwindigkeitsmessungen, nicht jedoch Abstandsmessungen, ist zu konstatieren, dass Abstandsmessungen zwischen zwei anderen Fahrzeugen nur möglich sind, wenn deren Positionen in der Folge bestimmt und mit Hilfe der entsprechenden Software ausgewertet werden. Das System ist während der Aufzeichnung nicht in der Lage, diese Positionen anhand von Fixpunkten (z.B. Achse der beteiligten Fahrzeuge) automatisch zu bestimmen und so deren Abstand zu berechnen. Entsprechend erweist es sich betreffend eine Abstandsmessung gar nicht als eichbar. Wesentlich für die Abstandsberechnung erscheint, dass das System die Geschwindigkeit korrekt darstellt, was mit der Eichung gewährleistet wird. Aus den Akten ist ersichtlich, dass die Messdaten im vorliegenden Fall mittels der gerichtsnotorisch anerkannten Software SAT-SPEED Dist HD ausgewertet worden sind (act. 31 f.). Darüber hinaus muss die genaue technische Funktionsweise eines Nachfahrtachografen bzw. einer Auswerte-Software für die Strafverfolgungsbehörden und Gerichte im Einzelnen auch nicht in jedem Punkt nachvollziehbar sein, wenn die Systeme an sich zugelassen und im Tatzeitpunkt geeicht sind (vgl. hierzu im Einzelnen KGE 460 17 110 vom 31. Oktober 2017, E. 1.5.2).</w:t>
      </w:r>
    </w:p>
    <w:p>
      <w:r>
        <w:rPr>
          <w:b/>
        </w:rPr>
        <w:t>E. 1.7</w:t>
      </w:r>
    </w:p>
    <w:p>
      <w:r>
        <w:t>Zusammenfassend erhellt, dass sämtliche formellen und materiellen Einwände des Beschuldigten bezüglich des vorinstanzlich festgestellten Sachverhalts unbegründet sind. Das Kantonsgericht kommt demnach mit der Vorinstanz zum Schluss, dass der dem Beschuldigten vorgeworfene Sachverhalt mit der Präzisierung, dass die Abstandsmessung auf der zweiten Überholspur erfolgte, als erstellt zu erachten ist. Diesen Sachverhalt gilt es nachfolgend in rechtlicher Hinsicht zu würdigen. 2. Rechtliches</w:t>
      </w:r>
    </w:p>
    <w:p>
      <w:r>
        <w:rPr>
          <w:b/>
        </w:rPr>
        <w:t>E. 2</w:t>
      </w:r>
    </w:p>
    <w:p>
      <w:r>
        <w:t>Gegenstand der Neubeurteilung</w:t>
      </w:r>
    </w:p>
    <w:p>
      <w:r>
        <w:rPr>
          <w:b/>
        </w:rPr>
        <w:t>E. 2.1</w:t>
      </w:r>
    </w:p>
    <w:p>
      <w:r>
        <w:t>Gemäss Art. 428 Abs. 1 StPO tragen die Parteien die Kosten des Rechtsmittelverfahrens nach Massgabe ihres Obsiegens oder Unterliegens. Entsprechend dem Ausgang des vorliegenden Verfahrens, mithin der vollumfänglichen Abweisung der Berufung des Beschuldigten, gehen die Verfahrenskosten in der Höhe von CHF 2'200.00, bestehend aus einer Gerichtsgebühr von CHF 2'000.00 (§ 12 Abs. 1 der Verordnung über die Gebühren der Gerichte, GebT, SGS 170.31) und Auslagen von CHF 200.00, zu Lasten des Beschuldigten.</w:t>
      </w:r>
    </w:p>
    <w:p>
      <w:r>
        <w:rPr>
          <w:b/>
        </w:rPr>
        <w:t>E. 2.1.1</w:t>
      </w:r>
    </w:p>
    <w:p>
      <w:r>
        <w:t>In rechtlicher Hinsicht hat das Strafgericht das Verhalten des Beschuldigten als grobe Verletzung der Verkehrsregeln qualifiziert. Nach der Lehre und der bundesgerichtlichen Rechtsprechung sei ein eingehaltener Abstand von 0.6 Sekunden oder weniger bzw. "1/6 Tacho" als grobe Verkehrsregelverletzung zu qualifizieren. Der Beschuldigte habe auf einer Strecke von ca. 500 m bis auf 15.8 m, also mit einem zeitlichen Abstand von 0,48 Sekunden, zum voranfahrenden Fahrzeug aufgeschlossen. Bei dieser Geschwindigkeit müsse der Mindestabstand zum voranfahrenden Fahrzeug gemäss den allgemein gültigen Regeln ‒ auch bei günstigen Strassen-, Sicht- und Witterungsverhältnissen ‒ rund 59 m betragen. Somit habe der Beschuldigte den einzuhaltenden Mindestabstand zum vorderen Fahrzeug erheblich unterschritten, weshalb eine erhöhte abstrakte Gefährdung im Sinne der einhelligen Lehre und Rechtsprechung zu bejahen sei. Demzufolge sei der objektive Tatbestand der groben Verkehrsregelverletzung erfüllt (vgl. E. I.3.2.1 des vorinstanzlichen Urteils).</w:t>
      </w:r>
    </w:p>
    <w:p>
      <w:r>
        <w:rPr>
          <w:b/>
        </w:rPr>
        <w:t>E. 2.1.2</w:t>
      </w:r>
    </w:p>
    <w:p>
      <w:r>
        <w:t>Bezüglich des subjektiven Tatbestands ist das Strafgericht zum Schluss gekommen, ein derart nahes Auffahren auf das Vorderfahrzeug sei als rücksichtslos zu qualifizieren. Bei einer solchen Fahrweise sei davon auszugehen, dass sich der Beschuldigte der Gefährlichkeit seiner verkehrswidrigen Fahrweise bewusst gewesen sei und trotzdem die Abstandsregel beim Hintereinanderfahren nicht eingehalten habe. Demzufolge habe er vorsätzlich, zumindest aber grobfahrlässig gehandelt, weshalb auch der subjektive Tatbestand der groben Verkehrsregelverletzung erfüllt sei (vgl. E. I.3.2.2 des vorinstanzlichen Urteils).</w:t>
      </w:r>
    </w:p>
    <w:p>
      <w:r>
        <w:rPr>
          <w:b/>
        </w:rPr>
        <w:t>E. 2.2</w:t>
      </w:r>
    </w:p>
    <w:p>
      <w:r>
        <w:t>Ausgangsgemäss hat der vollständig unterliegende Berufungskläger grundsätzlich keinen Anspruch auf eine Parteientschädigung. Angesichts des Rückweisungsentscheides auf Veranlassung des Bundesgerichts und der dadurch entstandenen Bemühungen des Beschuldigten zur Verfassung einer weiteren Stellungnahme im Rahmen des Verfahrens zur Neubeurteilung erweist sich allerdings eine reduzierte Parteientschädigung in der Höhe von CHF 300.00 (inkl. Auslagen) zuzüglich 7.7% Mehrwertsteuer (CHF 23.10) als angemessen. Die Ausrichtung einer lediglich reduzierten Parteientschädigung rechtfertigt sich insofern, als sich die massgebliche Eingabe vom 30. September 2021 in weiten Teilen mit Aspekten befasst hat, die im bundesgerichtlichen Verfahren nicht thematisiert worden sind. Dem Wahlverteidiger des Beschuldigten, Advokat Dr. Andreas Noll, wird somit eine reduzierte pauschale Parteientschädigung in der Höhe von insgesamt CHF 323.10 aus der Gerichtskasse entrichtet.</w:t>
      </w:r>
    </w:p>
    <w:p>
      <w:r>
        <w:rPr>
          <w:b/>
        </w:rPr>
        <w:t>E. 2.3</w:t>
      </w:r>
    </w:p>
    <w:p>
      <w:r>
        <w:t>Im Weiteren ist die Höhe des Tagessatzes zu bestimmen. Das Gericht bemisst die Tagessatzhöhe gemäss Art. 34 Abs. 2 StGB nach den persönlichen und wirtschaftlichen Verhältnissen des Täters im Zeitpunkt des Urteils, namentlich nach Einkommen und Vermögen, Lebens-aufwand, allfälligen Familien- und Unterstützungspflichten sowie nach dem Existenzminimum. Ausgangspunkt für die Bestimmung der Tagessatzhöhe ist entsprechend der gesetzlichen Aufzählung das Einkommen des Täters. Die übrigen wirtschaftlichen und persönlichen Verhältnisse sind indes gleichbedeutend und umfassend zu berücksichtigen. Sie erlauben es, vom Nettoeinkommen nach oben und unten abzuweichen. Seit dem Urteil des Strafgerichts sind seitens des Beschuldigten keine veränderten Einkommens- und Vermögensverhältnisse geltend gemacht worden. Vorliegend ist somit zu konstatieren, dass kein Grund besteht, die im Übrigen auch nicht beanstandete Höhe der einzelnen Tagessätze von je CHF 150.00 zu korrigieren, zumal sich die Berechnung in sachlicher Hinsicht als durchwegs zutreffend erweist.</w:t>
      </w:r>
    </w:p>
    <w:p>
      <w:r>
        <w:rPr>
          <w:b/>
        </w:rPr>
        <w:t>E. 2.4</w:t>
      </w:r>
    </w:p>
    <w:p>
      <w:r>
        <w:t>In Anwendung von Art. 42 Abs. 1 StGB schiebt das Gericht den Vollzug einer Geldstrafe oder einer Freiheitsstrafe von mindestens sechs Monaten und höchstens zwei Jahren in der Regel auf, wenn eine unbedingte Strafe nicht notwendig erscheint, um den Täter von der Begehung weiterer Verbrechen und Vergehen abzuhalten. Im vorliegenden Fall bestehen keinerlei Hinweise für eine ungünstige Legalprognose, weshalb der Vollzug der Geldstrafe gemäss Art. 42 Abs. 1 StGB, in Übereinstimmung mit dem vorinstanzlichen Urteil, bedingt aufzuschieben ist; dies bei Anordnung der minimalen Probezeit von zwei Jahren nach Art. 44 Abs. 1 StGB.</w:t>
      </w:r>
    </w:p>
    <w:p>
      <w:r>
        <w:rPr>
          <w:b/>
        </w:rPr>
        <w:t>E. 2.5</w:t>
      </w:r>
    </w:p>
    <w:p>
      <w:r>
        <w:t>Gestützt auf Art. 42 Abs. 4 StGB kann eine bedingte Strafe mit einer Busse nach Art. 106 StGB verbunden werden. Die Bestimmung dient in erster Linie dazu, die sogenannte Schnittstellenproblematik zwischen der unbedingten Busse für Übertretungen und der bedingten Geldstrafe für Vergehen zu entschärfen ( Roland M. Schneider / Roy Garré , Basler Kommentar Strafrecht I, a.a.O., Art. 42 N 102). Verbindungsbussen kommen insbesondere in Betracht, wenn man dem Täter den bedingten Vollzug einer Geld- oder Freiheitsstrafe gewähren möchte, ihm aber dennoch in gewissen Fällen mit der Auferlegung einer zu bezahlenden Busse einen spürbaren Denk-zettel vermitteln will. Die Strafenkombination dient hier spezialpräventiven Zwecken. Das Haupt-gewicht liegt auf der bedingten Freiheits- oder Geldstrafe, während der Verbindungsbusse nur untergeordnete Bedeutung zukommt. Dies ergibt sich aus der systematischen Einordnung von Art. 42 Abs. 4 StGB, welche die Verbindungsbusse als bloss akzessorische Strafe ausweist. Die Verbindungsbusse soll nicht zu einer Straferhöhung führen oder eine zusätzliche Strafe ermöglichen, sie erlaubt lediglich innerhalb der schuldangemessenen Strafe eine täter- und tatangemessene Sanktion, wobei die an sich verwirkte Geldstrafe und die damit verbundene Busse in ihrer Summe schuldangemessen sein müssen. Um dem akzessorischen Charakter der Verbindungsstrafe gerecht zu werden, erscheint es sachgerecht, die Obergrenze grundsätzlich auf einen Fünftel bzw. 20 Prozent festzulegen. Abweichungen von dieser Regel sind im Bereich tiefer Strafen denkbar, um sicherzustellen, dass der Verbindungsbusse nicht eine lediglich symbolische Bedeutung zukommt (BGE 135 IV 188, E. 3.3 ff.).</w:t>
      </w:r>
    </w:p>
    <w:p>
      <w:r>
        <w:rPr>
          <w:b/>
        </w:rPr>
        <w:t>E. 2.6</w:t>
      </w:r>
    </w:p>
    <w:p>
      <w:r>
        <w:t>Vorliegend liegt zweifelsohne ein Fall der vorstehend dargelegten Schnittstellenproblematik zwischen Übertretung und Vergehen vor, bei der es im Bereich der Verkehrsdelikte aus generalpräventiven Überlegungen grundsätzlich angezeigt ist, zusätzlich zu einer bedingten Strafe eine unbedingte Verbindungsbusse zu verhängen, ansonsten es regelmässig zum unbefriedigenden Resultat führen würde, dass diejenigen beschuldigten Personen mit dem gravierenderen Delikt faktisch weniger spürbar bestraft würden als diejenigen, welche lediglich eine Übertretung begangen haben. Auch im vorliegenden Fall erweist sich die Auferlegung einer Verbindungsbusse als angemessen. Im Resultat erachtet es das Kantonsgericht vorliegend in Ausübung seines Ermessens – unter Berücksichtigung der finanziellen Verhältnisse und des festgestellten leichten Verschuldens – sowie den Vorgaben des Bundesgerichts bezüglich der untergeordneten Bedeutung der Verbindungsstrafe folgend als schuld- und tatangemessen, 5 Tage der Gesamt-strafe von 25 Tagessätzen auszusondern und in die Form der Busse zu kleiden. Ausgehend von den Tagessätzen ist die Höhe der auszufällenden Busse auf CHF 500.00 festzusetzen. Im Falle schuldhafter Nichtbezahlung tritt in Anwendung von Art. 106 Abs. 2 StGB an deren Stelle eine Ersatzfreiheitsstrafe von 5 Tagen. Im Ergebnis wird der Beschuldigte somit zu einer bedingt vollziehbaren Geldstrafe von 20 Tagessätzen zu je CHF 150.00, bei einer Probezeit von 2 Jahren, sowie zu einer Busse von CHF 500.00 verurteilt. IV. KOSTEN 1. Kosten vor Strafgericht Die beschuldigte Person trägt die Verfahrenskosten, wenn sie verurteilt wird (Art. 426 Abs. 1 StPO). Fällt die Rechtsmittelinstanz selbst einen neuen Entscheid, so befindet sie darin auch über die von der Vorinstanz getroffene Kostenregelung (Art. 428 Abs. 3 StPO). Im vorliegenden Berufungsverfahren wurde das Urteil des Strafgerichtspräsidiums vom 15. Januar 2019 vollumfänglich bestätigt, weshalb es sich nicht rechtfertigt, die in Anwendung von Art. 426 Abs. 1 StPO verlegten Kosten- und Entschädigungsfolgen zu ändern; vielmehr sind sie als angemessen erfolgt zu bestätigen. 2. Kosten des Kantonsgerichts</w:t>
      </w:r>
    </w:p>
    <w:p>
      <w:r>
        <w:rPr>
          <w:b/>
        </w:rPr>
        <w:t>E. 3</w:t>
      </w:r>
    </w:p>
    <w:p>
      <w:r>
        <w:t>Fazit Demzufolge ist der Beschuldigte in Abweisung seiner diesbezüglichen Berufung und dementsprechend in Bestätigung des angefochtenen Urteils der groben Verletzung von Verkehrsregeln nach Art. 90 Abs. 2 SVG i.V.m. Art. 34 Abs. 4 SVG schuldig zu sprechen. III. S TRAFZUMESSUNG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